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0E5F" w14:textId="4CF8C714" w:rsidR="0018617B" w:rsidRPr="00B266B0" w:rsidRDefault="0018617B" w:rsidP="0018617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Pr="00B266B0">
        <w:rPr>
          <w:bCs/>
          <w:noProof w:val="0"/>
          <w:sz w:val="24"/>
          <w:szCs w:val="24"/>
        </w:rPr>
        <w:tab/>
      </w:r>
      <w:r w:rsidR="00FF66C2" w:rsidRPr="00FF66C2">
        <w:rPr>
          <w:bCs/>
          <w:noProof w:val="0"/>
          <w:sz w:val="24"/>
          <w:szCs w:val="24"/>
        </w:rPr>
        <w:t>R2-1812714</w:t>
      </w:r>
    </w:p>
    <w:p w14:paraId="39BE00F6" w14:textId="0CD3033B" w:rsidR="00CD4C7B" w:rsidRPr="00B266B0" w:rsidRDefault="0018617B" w:rsidP="0018617B">
      <w:pPr>
        <w:pStyle w:val="Header"/>
        <w:rPr>
          <w:bCs/>
          <w:noProof w:val="0"/>
          <w:sz w:val="24"/>
        </w:rPr>
      </w:pPr>
      <w:r>
        <w:rPr>
          <w:rFonts w:eastAsia="宋体"/>
          <w:noProof w:val="0"/>
          <w:sz w:val="24"/>
          <w:szCs w:val="24"/>
          <w:lang w:eastAsia="zh-CN"/>
        </w:rPr>
        <w:t>Gothenburg, Sweden, 20 - 24 August</w:t>
      </w:r>
      <w:r w:rsidRPr="002610D8">
        <w:rPr>
          <w:rFonts w:eastAsia="宋体"/>
          <w:noProof w:val="0"/>
          <w:sz w:val="24"/>
          <w:szCs w:val="24"/>
          <w:lang w:eastAsia="zh-CN"/>
        </w:rPr>
        <w:t xml:space="preserve"> 2018</w:t>
      </w:r>
      <w:r>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p>
    <w:p w14:paraId="49379CFB" w14:textId="77777777" w:rsidR="00CD4C7B" w:rsidRPr="00B266B0" w:rsidRDefault="00CD4C7B" w:rsidP="00CD4C7B">
      <w:pPr>
        <w:pStyle w:val="Header"/>
        <w:rPr>
          <w:bCs/>
          <w:noProof w:val="0"/>
          <w:sz w:val="24"/>
        </w:rPr>
      </w:pPr>
    </w:p>
    <w:p w14:paraId="758E2B30" w14:textId="275E191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05A">
        <w:rPr>
          <w:rFonts w:cs="Arial"/>
          <w:b/>
          <w:bCs/>
          <w:sz w:val="24"/>
          <w:lang w:eastAsia="ja-JP"/>
        </w:rPr>
        <w:t>10.</w:t>
      </w:r>
      <w:r w:rsidR="00B85A38">
        <w:rPr>
          <w:rFonts w:cs="Arial"/>
          <w:b/>
          <w:bCs/>
          <w:sz w:val="24"/>
          <w:lang w:eastAsia="ja-JP"/>
        </w:rPr>
        <w:t>5</w:t>
      </w:r>
      <w:r w:rsidR="00F3305A">
        <w:rPr>
          <w:rFonts w:cs="Arial"/>
          <w:b/>
          <w:bCs/>
          <w:sz w:val="24"/>
          <w:lang w:eastAsia="ja-JP"/>
        </w:rPr>
        <w:t>.</w:t>
      </w:r>
      <w:r w:rsidR="00320134">
        <w:rPr>
          <w:rFonts w:cs="Arial"/>
          <w:b/>
          <w:bCs/>
          <w:sz w:val="24"/>
          <w:lang w:eastAsia="ja-JP"/>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E81B24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570B9">
        <w:rPr>
          <w:rFonts w:ascii="Arial" w:hAnsi="Arial" w:cs="Arial"/>
          <w:b/>
          <w:bCs/>
          <w:sz w:val="24"/>
        </w:rPr>
        <w:t xml:space="preserve">Consideration on Measurement </w:t>
      </w:r>
      <w:r w:rsidR="009341CF">
        <w:rPr>
          <w:rFonts w:ascii="Arial" w:hAnsi="Arial" w:cs="Arial"/>
          <w:b/>
          <w:bCs/>
          <w:sz w:val="24"/>
        </w:rPr>
        <w:t>configuration</w:t>
      </w:r>
      <w:r w:rsidR="00F570B9">
        <w:rPr>
          <w:rFonts w:ascii="Arial" w:hAnsi="Arial" w:cs="Arial"/>
          <w:b/>
          <w:bCs/>
          <w:sz w:val="24"/>
        </w:rPr>
        <w:t xml:space="preserve"> in </w:t>
      </w:r>
      <w:r w:rsidR="00320134">
        <w:rPr>
          <w:rFonts w:ascii="Arial" w:hAnsi="Arial" w:cs="Arial"/>
          <w:b/>
          <w:bCs/>
          <w:sz w:val="24"/>
        </w:rPr>
        <w:t xml:space="preserve">NR-NR </w:t>
      </w:r>
      <w:r w:rsidR="00F570B9">
        <w:rPr>
          <w:rFonts w:ascii="Arial" w:hAnsi="Arial" w:cs="Arial"/>
          <w:b/>
          <w:bCs/>
          <w:sz w:val="24"/>
        </w:rPr>
        <w:t>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790A0FF" w14:textId="1E2863E8" w:rsidR="00F570B9" w:rsidRPr="006E13D1" w:rsidRDefault="00320134" w:rsidP="00F570B9">
      <w:r>
        <w:t>In RAN#80</w:t>
      </w:r>
      <w:r w:rsidR="0052765C">
        <w:t xml:space="preserve">, it was agreed the </w:t>
      </w:r>
      <w:r w:rsidR="0052765C" w:rsidRPr="0052765C">
        <w:t>NR-NR dua</w:t>
      </w:r>
      <w:r w:rsidR="0052765C">
        <w:t xml:space="preserve">l connectivity synchronized case will be included in Rel-15 late drop version. </w:t>
      </w:r>
      <w:r w:rsidR="00BC6A29">
        <w:t>It</w:t>
      </w:r>
      <w:r w:rsidR="0052765C">
        <w:t xml:space="preserve"> may have two DC architecture principles applied</w:t>
      </w:r>
      <w:r w:rsidR="00BC6A29">
        <w:t xml:space="preserve"> to NR-NR DC</w:t>
      </w:r>
      <w:r w:rsidR="0052765C">
        <w:t xml:space="preserve">, LTE DC </w:t>
      </w:r>
      <w:r w:rsidR="00BC6A29">
        <w:t xml:space="preserve">or MR-DC, as discussed in [1]. </w:t>
      </w:r>
      <w:r w:rsidR="0052765C">
        <w:t xml:space="preserve">This paper is to discuss </w:t>
      </w:r>
      <w:r w:rsidR="00BC6A29">
        <w:t xml:space="preserve">measurement gap configuration in NR-NR DC. </w:t>
      </w:r>
    </w:p>
    <w:p w14:paraId="2683F1F8" w14:textId="6D3FCB86" w:rsidR="00F570B9" w:rsidRPr="006E13D1" w:rsidRDefault="00F570B9" w:rsidP="00F570B9">
      <w:pPr>
        <w:pStyle w:val="Heading1"/>
      </w:pPr>
      <w:r w:rsidRPr="006E13D1">
        <w:t>2</w:t>
      </w:r>
      <w:r w:rsidRPr="006E13D1">
        <w:tab/>
      </w:r>
      <w:r>
        <w:t xml:space="preserve">Measurement gap </w:t>
      </w:r>
      <w:r w:rsidR="004C32FB">
        <w:t>C</w:t>
      </w:r>
      <w:r>
        <w:t>onfiguration</w:t>
      </w:r>
    </w:p>
    <w:p w14:paraId="5F8743F9" w14:textId="00690891" w:rsidR="00BC6A29" w:rsidRDefault="00BC6A29" w:rsidP="00F570B9">
      <w:r>
        <w:t>For EN-DC, RAN4 agreed two measurement gap type supported in Rel-15, per UE gap and per FR gap. Both shall be supported in NR-NR DC in Rel-15 at least.</w:t>
      </w:r>
    </w:p>
    <w:p w14:paraId="6802EAF1" w14:textId="77777777" w:rsidR="007C75E9" w:rsidRDefault="007C75E9" w:rsidP="007C75E9">
      <w:pPr>
        <w:rPr>
          <w:b/>
        </w:rPr>
      </w:pPr>
      <w:r w:rsidRPr="004D43C7">
        <w:rPr>
          <w:b/>
        </w:rPr>
        <w:t xml:space="preserve">Observation1: For </w:t>
      </w:r>
      <w:r>
        <w:rPr>
          <w:b/>
        </w:rPr>
        <w:t>NR</w:t>
      </w:r>
      <w:r w:rsidRPr="004D43C7">
        <w:rPr>
          <w:b/>
        </w:rPr>
        <w:t>-</w:t>
      </w:r>
      <w:r>
        <w:rPr>
          <w:b/>
        </w:rPr>
        <w:t xml:space="preserve">NR </w:t>
      </w:r>
      <w:r w:rsidRPr="004D43C7">
        <w:rPr>
          <w:b/>
        </w:rPr>
        <w:t>DC,</w:t>
      </w:r>
      <w:r>
        <w:rPr>
          <w:b/>
        </w:rPr>
        <w:t xml:space="preserve"> t</w:t>
      </w:r>
      <w:r w:rsidRPr="00F5783B">
        <w:rPr>
          <w:b/>
        </w:rPr>
        <w:t>wo measurement gap types</w:t>
      </w:r>
      <w:r>
        <w:rPr>
          <w:b/>
        </w:rPr>
        <w:t xml:space="preserve"> supported</w:t>
      </w:r>
      <w:r w:rsidRPr="00F5783B">
        <w:rPr>
          <w:b/>
        </w:rPr>
        <w:t xml:space="preserve"> including per UE gap and per FR gap</w:t>
      </w:r>
      <w:r>
        <w:rPr>
          <w:b/>
        </w:rPr>
        <w:t>.</w:t>
      </w:r>
    </w:p>
    <w:p w14:paraId="238C0BC9" w14:textId="37194292" w:rsidR="00654B65" w:rsidRDefault="00BC6A29" w:rsidP="00F570B9">
      <w:r>
        <w:t xml:space="preserve">For NR-NR DC, </w:t>
      </w:r>
      <w:r w:rsidR="0020012E">
        <w:t xml:space="preserve">both </w:t>
      </w:r>
      <w:r>
        <w:t xml:space="preserve">master node and secondary node </w:t>
      </w:r>
      <w:r w:rsidR="0020012E">
        <w:t>are</w:t>
      </w:r>
      <w:r>
        <w:t xml:space="preserve"> gNB. If LTE DC architecture principle is applied, MgNB as </w:t>
      </w:r>
      <w:r w:rsidR="0020012E">
        <w:t xml:space="preserve">unique node that has </w:t>
      </w:r>
      <w:r>
        <w:t>RRC entity shall configure</w:t>
      </w:r>
      <w:r w:rsidR="00654B65">
        <w:t xml:space="preserve"> </w:t>
      </w:r>
      <w:r w:rsidR="0020012E">
        <w:t xml:space="preserve">all kinds of measurement gap (including per UE or per FR) </w:t>
      </w:r>
      <w:r w:rsidR="00654B65">
        <w:t xml:space="preserve">to UE and informs to SgNB after configuration. </w:t>
      </w:r>
    </w:p>
    <w:p w14:paraId="3BAF30B5" w14:textId="05C67783" w:rsidR="0031536B" w:rsidRDefault="00654B65" w:rsidP="00F570B9">
      <w:r>
        <w:t xml:space="preserve">But if MR-DC architecture principle is applied to NR-NR DC, both MgNB and SgNB </w:t>
      </w:r>
      <w:r w:rsidRPr="00654B65">
        <w:t xml:space="preserve">may have cells </w:t>
      </w:r>
      <w:r w:rsidR="0020012E">
        <w:t>deployed on FR2 frequency and</w:t>
      </w:r>
      <w:r w:rsidRPr="00654B65">
        <w:t xml:space="preserve"> FR1 frequency</w:t>
      </w:r>
      <w:r w:rsidR="0020012E">
        <w:t>, and a</w:t>
      </w:r>
      <w:r w:rsidRPr="00654B65">
        <w:t>ll thos</w:t>
      </w:r>
      <w:r>
        <w:t xml:space="preserve">e NR frequencies’ SMTC info may </w:t>
      </w:r>
      <w:r w:rsidR="005926EF">
        <w:t>be</w:t>
      </w:r>
      <w:r w:rsidRPr="00654B65">
        <w:t xml:space="preserve"> </w:t>
      </w:r>
      <w:r w:rsidR="005926EF">
        <w:t>un</w:t>
      </w:r>
      <w:r w:rsidRPr="00654B65">
        <w:t xml:space="preserve">known </w:t>
      </w:r>
      <w:r>
        <w:t>each other</w:t>
      </w:r>
      <w:r w:rsidRPr="00654B65">
        <w:t>.</w:t>
      </w:r>
      <w:r>
        <w:t xml:space="preserve"> To reuse MR-DC principle as much as possible, the straightway is MN still configures per UE gap or per FR1 gap pattern to UE and informs the gap pattern to SN. </w:t>
      </w:r>
      <w:r w:rsidR="0020012E">
        <w:t xml:space="preserve">But for FR2 gap, it may need more </w:t>
      </w:r>
      <w:r>
        <w:t>discuss</w:t>
      </w:r>
      <w:r w:rsidR="0020012E">
        <w:t>ion on</w:t>
      </w:r>
      <w:r>
        <w:t xml:space="preserve"> which </w:t>
      </w:r>
      <w:r w:rsidR="0031536B">
        <w:t>NW entity to control configuration</w:t>
      </w:r>
      <w:r w:rsidR="0020012E">
        <w:t xml:space="preserve"> to UE</w:t>
      </w:r>
      <w:r w:rsidR="0031536B">
        <w:t>.</w:t>
      </w:r>
      <w:bookmarkStart w:id="0" w:name="_GoBack"/>
      <w:bookmarkEnd w:id="0"/>
    </w:p>
    <w:p w14:paraId="6D36DAED" w14:textId="15701B0D" w:rsidR="00654B65" w:rsidRDefault="007C75E9" w:rsidP="007C75E9">
      <w:pPr>
        <w:rPr>
          <w:b/>
        </w:rPr>
      </w:pPr>
      <w:r w:rsidRPr="007C75E9">
        <w:rPr>
          <w:b/>
        </w:rPr>
        <w:t xml:space="preserve">Proposal1: </w:t>
      </w:r>
      <w:r w:rsidR="00654B65">
        <w:rPr>
          <w:b/>
        </w:rPr>
        <w:t xml:space="preserve">MN </w:t>
      </w:r>
      <w:r w:rsidR="00654B65" w:rsidRPr="00F5783B">
        <w:rPr>
          <w:b/>
        </w:rPr>
        <w:t>configure</w:t>
      </w:r>
      <w:r w:rsidR="00654B65">
        <w:rPr>
          <w:b/>
        </w:rPr>
        <w:t>s</w:t>
      </w:r>
      <w:r w:rsidR="00654B65" w:rsidRPr="00F5783B">
        <w:rPr>
          <w:b/>
        </w:rPr>
        <w:t xml:space="preserve"> </w:t>
      </w:r>
      <w:r w:rsidR="00654B65">
        <w:rPr>
          <w:b/>
        </w:rPr>
        <w:t>per UE gap or per FR1 gap pattern to UE and informs the gap pattern to SN.</w:t>
      </w:r>
    </w:p>
    <w:p w14:paraId="55CC7071" w14:textId="6AAD5F94" w:rsidR="007C75E9" w:rsidRDefault="007C75E9" w:rsidP="007C75E9">
      <w:pPr>
        <w:rPr>
          <w:b/>
        </w:rPr>
      </w:pPr>
      <w:r>
        <w:rPr>
          <w:b/>
        </w:rPr>
        <w:t xml:space="preserve">Proposal2: </w:t>
      </w:r>
      <w:r w:rsidR="003D285E">
        <w:rPr>
          <w:b/>
        </w:rPr>
        <w:t>RAN2 needs to discuss in NR-NR DC which network node is responsible for per UE and per FR gap configuration to UE</w:t>
      </w:r>
      <w:r>
        <w:rPr>
          <w:b/>
        </w:rPr>
        <w:t xml:space="preserve">. </w:t>
      </w:r>
    </w:p>
    <w:p w14:paraId="689D7E0C" w14:textId="75BFAB1D" w:rsidR="00A0411E" w:rsidRDefault="00F570B9" w:rsidP="00F570B9">
      <w:r>
        <w:t xml:space="preserve">For EN-DC, before EN-DC configuration, </w:t>
      </w:r>
      <w:r w:rsidR="00A0411E">
        <w:t xml:space="preserve">RAN2 agreed no </w:t>
      </w:r>
      <w:r w:rsidR="00C30AF7">
        <w:t xml:space="preserve">static </w:t>
      </w:r>
      <w:r w:rsidR="00A0411E">
        <w:t>NeedForGap capability introduced in LTE side</w:t>
      </w:r>
      <w:r w:rsidR="00C30AF7">
        <w:t xml:space="preserve"> for NR frequency measurement</w:t>
      </w:r>
      <w:r w:rsidR="00A0411E">
        <w:t xml:space="preserve"> in Rel-15</w:t>
      </w:r>
      <w:r w:rsidR="00E20524">
        <w:t xml:space="preserve">. After EN-DC configuration, </w:t>
      </w:r>
      <w:r w:rsidR="00E20524" w:rsidRPr="00DC3A6F">
        <w:t>independentGapConfig</w:t>
      </w:r>
      <w:r w:rsidR="00E20524">
        <w:t xml:space="preserve"> capability is used by network to decide whether </w:t>
      </w:r>
      <w:r w:rsidR="00FF1184">
        <w:t xml:space="preserve">per FR </w:t>
      </w:r>
      <w:r w:rsidR="00E20524">
        <w:t xml:space="preserve">gap </w:t>
      </w:r>
      <w:r w:rsidR="00FF1184">
        <w:t>can be configured</w:t>
      </w:r>
      <w:r w:rsidR="00E20524">
        <w:t xml:space="preserve"> </w:t>
      </w:r>
      <w:r w:rsidR="00FF1184">
        <w:t>for</w:t>
      </w:r>
      <w:r w:rsidR="00E20524">
        <w:t xml:space="preserve"> </w:t>
      </w:r>
      <w:r w:rsidR="00FF1184">
        <w:t>measurement</w:t>
      </w:r>
      <w:r w:rsidR="00E20524">
        <w:t xml:space="preserve"> to NR frequency</w:t>
      </w:r>
      <w:r w:rsidR="00FF1184">
        <w:t xml:space="preserve"> of</w:t>
      </w:r>
      <w:r w:rsidR="00E20524">
        <w:t xml:space="preserve"> FR1 </w:t>
      </w:r>
      <w:r w:rsidR="00FF1184">
        <w:t>or</w:t>
      </w:r>
      <w:r w:rsidR="00E20524">
        <w:t xml:space="preserve"> FR2. </w:t>
      </w:r>
      <w:r w:rsidR="00A0411E">
        <w:t xml:space="preserve"> </w:t>
      </w:r>
    </w:p>
    <w:p w14:paraId="2E9FA611" w14:textId="477B58B3" w:rsidR="00F570B9" w:rsidRDefault="00FF1184" w:rsidP="00F570B9">
      <w:r>
        <w:t xml:space="preserve">For </w:t>
      </w:r>
      <w:r w:rsidR="00C30AF7">
        <w:t xml:space="preserve">NR-NR </w:t>
      </w:r>
      <w:r>
        <w:t>DC,</w:t>
      </w:r>
      <w:r w:rsidR="001F2D9A">
        <w:t xml:space="preserve"> </w:t>
      </w:r>
      <w:r w:rsidR="0020012E">
        <w:t xml:space="preserve">whatever </w:t>
      </w:r>
      <w:r w:rsidR="001F2D9A">
        <w:t xml:space="preserve">before </w:t>
      </w:r>
      <w:r w:rsidR="0020012E">
        <w:t xml:space="preserve">or after </w:t>
      </w:r>
      <w:r w:rsidR="00C30AF7">
        <w:t xml:space="preserve">DC </w:t>
      </w:r>
      <w:r w:rsidR="001F2D9A">
        <w:t>configuration,</w:t>
      </w:r>
      <w:r>
        <w:t xml:space="preserve"> </w:t>
      </w:r>
      <w:r w:rsidR="0020012E">
        <w:t xml:space="preserve">to get UE capability on measured band that needs gap or not, </w:t>
      </w:r>
      <w:r w:rsidR="00395A60">
        <w:t xml:space="preserve">same </w:t>
      </w:r>
      <w:r w:rsidR="00822348">
        <w:t>mechanism</w:t>
      </w:r>
      <w:r w:rsidR="0020012E">
        <w:t xml:space="preserve"> as SA</w:t>
      </w:r>
      <w:r w:rsidR="00395A60">
        <w:t xml:space="preserve"> </w:t>
      </w:r>
      <w:r w:rsidR="0020012E">
        <w:t>should be</w:t>
      </w:r>
      <w:r w:rsidR="00395A60">
        <w:t xml:space="preserve"> used, e.g., </w:t>
      </w:r>
      <w:r w:rsidR="0020012E">
        <w:t xml:space="preserve">UE supporting </w:t>
      </w:r>
      <w:r w:rsidR="00395A60">
        <w:t>static needForGap capability</w:t>
      </w:r>
      <w:r w:rsidR="00822348">
        <w:t xml:space="preserve">, </w:t>
      </w:r>
      <w:r w:rsidR="0020012E">
        <w:t xml:space="preserve">or UE supporting </w:t>
      </w:r>
      <w:r w:rsidR="00822348">
        <w:t>enquired needForgap capability</w:t>
      </w:r>
      <w:r w:rsidR="00395A60">
        <w:t>.</w:t>
      </w:r>
      <w:r w:rsidR="00A578B4">
        <w:t xml:space="preserve"> There is no special case that needs different solution. </w:t>
      </w:r>
    </w:p>
    <w:p w14:paraId="3DB2AE19" w14:textId="5E81E90D" w:rsidR="00F570B9" w:rsidRDefault="00A578B4" w:rsidP="00F570B9">
      <w:pPr>
        <w:rPr>
          <w:b/>
        </w:rPr>
      </w:pPr>
      <w:r>
        <w:rPr>
          <w:b/>
        </w:rPr>
        <w:t>Observation2</w:t>
      </w:r>
      <w:r w:rsidR="00F570B9" w:rsidRPr="00D33F27">
        <w:rPr>
          <w:b/>
        </w:rPr>
        <w:t xml:space="preserve">: </w:t>
      </w:r>
      <w:r w:rsidR="00F570B9">
        <w:rPr>
          <w:b/>
        </w:rPr>
        <w:t xml:space="preserve">For </w:t>
      </w:r>
      <w:r w:rsidR="0020012E">
        <w:rPr>
          <w:b/>
        </w:rPr>
        <w:t xml:space="preserve">getting UE capability on measured band that needs gap or not, </w:t>
      </w:r>
      <w:r w:rsidR="00822348">
        <w:rPr>
          <w:b/>
        </w:rPr>
        <w:t xml:space="preserve">NR-NR </w:t>
      </w:r>
      <w:r w:rsidR="00F570B9">
        <w:rPr>
          <w:b/>
        </w:rPr>
        <w:t>DC</w:t>
      </w:r>
      <w:r w:rsidR="00822348">
        <w:rPr>
          <w:b/>
        </w:rPr>
        <w:t xml:space="preserve"> </w:t>
      </w:r>
      <w:r>
        <w:rPr>
          <w:b/>
        </w:rPr>
        <w:t>can use</w:t>
      </w:r>
      <w:r w:rsidR="00822348">
        <w:rPr>
          <w:b/>
        </w:rPr>
        <w:t xml:space="preserve"> same UE capability indication mechanism as SA mode.  </w:t>
      </w:r>
    </w:p>
    <w:p w14:paraId="5E45056B" w14:textId="44BA5B04" w:rsidR="008E1DF1" w:rsidRDefault="00F570B9" w:rsidP="00F570B9">
      <w:r w:rsidRPr="009D5D23">
        <w:t xml:space="preserve">For </w:t>
      </w:r>
      <w:r w:rsidR="008E1DF1">
        <w:t xml:space="preserve">NR-NR </w:t>
      </w:r>
      <w:r w:rsidRPr="009D5D23">
        <w:t>DC</w:t>
      </w:r>
      <w:r w:rsidR="008E1DF1">
        <w:t>,</w:t>
      </w:r>
      <w:r w:rsidR="008E1DF1" w:rsidRPr="008E1DF1">
        <w:t xml:space="preserve"> </w:t>
      </w:r>
      <w:r w:rsidR="008E1DF1" w:rsidRPr="009D5D23">
        <w:t>Measurement Gap Timing Advance (MGTA)</w:t>
      </w:r>
      <w:r w:rsidRPr="009D5D23">
        <w:t xml:space="preserve">, </w:t>
      </w:r>
      <w:r w:rsidR="008E1DF1">
        <w:t>as both MgNB and SgNB can have FR1 and FR2 cells deployed, 0.25ms for FR2 gap and 0.5ms for FR1 gap shall be supported to configure to UE.</w:t>
      </w:r>
      <w:r w:rsidRPr="009D5D23">
        <w:t xml:space="preserve"> </w:t>
      </w:r>
      <w:r w:rsidR="006C63C8">
        <w:t xml:space="preserve">Current SA ASN.1 already ensured these values in MGTA and supported separate sequences for FR2 gap, FR1 or per UE gap configuration to UE, it means no extra </w:t>
      </w:r>
      <w:r w:rsidR="00C97AE2">
        <w:t xml:space="preserve">ASN.1 </w:t>
      </w:r>
      <w:r w:rsidR="006C63C8">
        <w:t xml:space="preserve">work needed for </w:t>
      </w:r>
      <w:r w:rsidR="00C97AE2">
        <w:t xml:space="preserve">supporting </w:t>
      </w:r>
      <w:r w:rsidR="006C63C8">
        <w:t>MGTA and gap type in NR-NR DC.</w:t>
      </w:r>
    </w:p>
    <w:p w14:paraId="0B4FD0D0" w14:textId="3C427DCC" w:rsidR="00F570B9" w:rsidRPr="00B802DC" w:rsidRDefault="006C63C8" w:rsidP="006C63C8">
      <w:pPr>
        <w:rPr>
          <w:b/>
        </w:rPr>
      </w:pPr>
      <w:r>
        <w:rPr>
          <w:b/>
        </w:rPr>
        <w:t>Observation</w:t>
      </w:r>
      <w:r w:rsidR="00A578B4">
        <w:rPr>
          <w:b/>
        </w:rPr>
        <w:t>3</w:t>
      </w:r>
      <w:r w:rsidR="008E1DF1" w:rsidRPr="008E1DF1">
        <w:rPr>
          <w:b/>
        </w:rPr>
        <w:t xml:space="preserve">: For NR-NR DC, </w:t>
      </w:r>
      <w:r>
        <w:rPr>
          <w:b/>
        </w:rPr>
        <w:t>current ASN.1 for SA has been ready to support MGTA and gap type indication in NR-NR DC</w:t>
      </w:r>
      <w:r w:rsidR="008E1DF1" w:rsidRPr="008E1DF1">
        <w:rPr>
          <w:b/>
        </w:rPr>
        <w:t>.</w:t>
      </w:r>
      <w:r w:rsidR="00F570B9">
        <w:rPr>
          <w:b/>
        </w:rPr>
        <w:t xml:space="preserve"> </w:t>
      </w:r>
    </w:p>
    <w:p w14:paraId="100A70EA" w14:textId="77777777" w:rsidR="00F570B9" w:rsidRPr="006E13D1" w:rsidRDefault="00F570B9" w:rsidP="00F570B9">
      <w:pPr>
        <w:pStyle w:val="Heading1"/>
      </w:pPr>
      <w:r w:rsidRPr="006E13D1">
        <w:lastRenderedPageBreak/>
        <w:t>3</w:t>
      </w:r>
      <w:r w:rsidRPr="006E13D1">
        <w:tab/>
      </w:r>
      <w:r>
        <w:t>Measurement gap assistance info exchanging</w:t>
      </w:r>
    </w:p>
    <w:p w14:paraId="3CF20035" w14:textId="31E5996A" w:rsidR="0046256C" w:rsidRDefault="00F570B9" w:rsidP="00F570B9">
      <w:r>
        <w:t xml:space="preserve">For </w:t>
      </w:r>
      <w:r w:rsidR="006C63C8">
        <w:t xml:space="preserve">NR-NR </w:t>
      </w:r>
      <w:r>
        <w:t xml:space="preserve">DC, </w:t>
      </w:r>
      <w:r w:rsidR="0046256C">
        <w:t>measurement gap assistance info exchanged between MeNB and SgNB is still needed whatever LTE DC principle or MR-DC principle applied. MN still needs to inform per UE/FR1 gap configuration to SN. And as discussed in Proposal2, MN may need to inform FR2 gap configuration to SN. On the contrary, SN also may need to inform FR2 gap configuration to MN, up to who is the first node to configure FR2 gap configuration to UE. To support proposal1, SN still needs to inform the measured frequency list to MN to request per UE/FR1 gap configuration.</w:t>
      </w:r>
    </w:p>
    <w:p w14:paraId="715674FD" w14:textId="7B15108D" w:rsidR="00F570B9" w:rsidRPr="0046256C" w:rsidRDefault="0046256C" w:rsidP="00F570B9">
      <w:pPr>
        <w:rPr>
          <w:b/>
        </w:rPr>
      </w:pPr>
      <w:r w:rsidRPr="0046256C">
        <w:rPr>
          <w:b/>
        </w:rPr>
        <w:t>Proposal</w:t>
      </w:r>
      <w:r w:rsidR="00A578B4">
        <w:rPr>
          <w:b/>
        </w:rPr>
        <w:t>3</w:t>
      </w:r>
      <w:r w:rsidRPr="0046256C">
        <w:rPr>
          <w:b/>
        </w:rPr>
        <w:t>: If MR-DC architecture principle applied</w:t>
      </w:r>
      <w:r w:rsidR="003D285E">
        <w:rPr>
          <w:b/>
        </w:rPr>
        <w:t xml:space="preserve"> to NR-NR DC</w:t>
      </w:r>
      <w:r w:rsidRPr="0046256C">
        <w:rPr>
          <w:b/>
        </w:rPr>
        <w:t xml:space="preserve">, </w:t>
      </w:r>
      <w:r w:rsidR="003D285E">
        <w:rPr>
          <w:b/>
        </w:rPr>
        <w:t xml:space="preserve">the network entity who controls FR2 gap configuration </w:t>
      </w:r>
      <w:r w:rsidRPr="0046256C">
        <w:rPr>
          <w:b/>
        </w:rPr>
        <w:t xml:space="preserve">needs to transfer configured FR2 gap configuration to another node. </w:t>
      </w:r>
    </w:p>
    <w:p w14:paraId="5927CE61" w14:textId="77777777" w:rsidR="00F570B9" w:rsidRPr="006E13D1" w:rsidRDefault="00F570B9" w:rsidP="00F570B9">
      <w:pPr>
        <w:pStyle w:val="Heading1"/>
      </w:pPr>
      <w:r>
        <w:t>4</w:t>
      </w:r>
      <w:r w:rsidRPr="006E13D1">
        <w:tab/>
      </w:r>
      <w:r w:rsidRPr="00A940A0">
        <w:t>Measurement</w:t>
      </w:r>
      <w:r>
        <w:t xml:space="preserve"> </w:t>
      </w:r>
      <w:r w:rsidRPr="00A940A0">
        <w:t>Timing</w:t>
      </w:r>
      <w:r>
        <w:t xml:space="preserve"> </w:t>
      </w:r>
      <w:r w:rsidRPr="00A940A0">
        <w:t>Configuration</w:t>
      </w:r>
    </w:p>
    <w:p w14:paraId="4DF123D4" w14:textId="79A7F580" w:rsidR="005926EF" w:rsidRDefault="00F570B9" w:rsidP="00F570B9">
      <w:pPr>
        <w:rPr>
          <w:rFonts w:cs="Arial"/>
          <w:lang w:eastAsia="ja-JP"/>
        </w:rPr>
      </w:pPr>
      <w:r>
        <w:rPr>
          <w:rFonts w:cs="Arial"/>
          <w:lang w:eastAsia="ja-JP"/>
        </w:rPr>
        <w:t xml:space="preserve">For NE-DC, </w:t>
      </w:r>
      <w:r w:rsidR="005926EF">
        <w:t xml:space="preserve">both MgNB and SgNB </w:t>
      </w:r>
      <w:r w:rsidR="005926EF" w:rsidRPr="00654B65">
        <w:t>may have cells deployed on FR2 frequency and on FR1 frequency that all thos</w:t>
      </w:r>
      <w:r w:rsidR="005926EF">
        <w:t>e NR frequencies’ SMTC info may be un</w:t>
      </w:r>
      <w:r w:rsidR="005926EF" w:rsidRPr="00654B65">
        <w:t xml:space="preserve">known </w:t>
      </w:r>
      <w:r w:rsidR="005926EF">
        <w:t xml:space="preserve">each other, </w:t>
      </w:r>
      <w:r w:rsidR="005926EF">
        <w:rPr>
          <w:rFonts w:cs="Arial"/>
          <w:lang w:eastAsia="ja-JP"/>
        </w:rPr>
        <w:t xml:space="preserve">the </w:t>
      </w:r>
      <w:r w:rsidR="005926EF" w:rsidRPr="00F35584">
        <w:rPr>
          <w:i/>
        </w:rPr>
        <w:t>MeasurementTimingConfiguration</w:t>
      </w:r>
      <w:r w:rsidR="005926EF">
        <w:rPr>
          <w:i/>
        </w:rPr>
        <w:t xml:space="preserve"> </w:t>
      </w:r>
      <w:r w:rsidR="005926EF" w:rsidRPr="00B03646">
        <w:t>m</w:t>
      </w:r>
      <w:r w:rsidR="005926EF">
        <w:t xml:space="preserve">essage is needed in bi-directionally. As SA ASN.1 already supported it, there is no extra </w:t>
      </w:r>
      <w:r w:rsidR="00C97AE2">
        <w:t>ASN.1</w:t>
      </w:r>
      <w:r w:rsidR="005926EF">
        <w:t>work for NR-NR DC.</w:t>
      </w:r>
    </w:p>
    <w:p w14:paraId="51791F17" w14:textId="2DBDD23F" w:rsidR="00F570B9" w:rsidRPr="00B03646" w:rsidRDefault="00F570B9" w:rsidP="005926EF">
      <w:pPr>
        <w:rPr>
          <w:b/>
        </w:rPr>
      </w:pPr>
      <w:r w:rsidRPr="00A940A0">
        <w:rPr>
          <w:b/>
        </w:rPr>
        <w:t>Observation</w:t>
      </w:r>
      <w:r w:rsidR="00A578B4">
        <w:rPr>
          <w:b/>
        </w:rPr>
        <w:t>4</w:t>
      </w:r>
      <w:r w:rsidRPr="00D33F27">
        <w:rPr>
          <w:b/>
        </w:rPr>
        <w:t>:</w:t>
      </w:r>
      <w:r>
        <w:rPr>
          <w:b/>
        </w:rPr>
        <w:t xml:space="preserve"> for </w:t>
      </w:r>
      <w:r w:rsidR="005926EF">
        <w:rPr>
          <w:b/>
        </w:rPr>
        <w:t xml:space="preserve">NR-NR DC, be-directional </w:t>
      </w:r>
      <w:r w:rsidRPr="00B03646">
        <w:rPr>
          <w:b/>
          <w:i/>
        </w:rPr>
        <w:t xml:space="preserve">MeasurementTimingConfiguration </w:t>
      </w:r>
      <w:r w:rsidRPr="00B03646">
        <w:rPr>
          <w:b/>
        </w:rPr>
        <w:t>message</w:t>
      </w:r>
      <w:r w:rsidR="005926EF">
        <w:rPr>
          <w:b/>
        </w:rPr>
        <w:t xml:space="preserve"> </w:t>
      </w:r>
      <w:r w:rsidR="00C97AE2">
        <w:rPr>
          <w:b/>
        </w:rPr>
        <w:t>has been supported in current ASN.1</w:t>
      </w:r>
      <w:r w:rsidR="005926EF">
        <w:rPr>
          <w:b/>
        </w:rPr>
        <w:t xml:space="preserve">. </w:t>
      </w:r>
      <w:r w:rsidRPr="00B03646">
        <w:rPr>
          <w:b/>
        </w:rPr>
        <w:t xml:space="preserve"> </w:t>
      </w:r>
    </w:p>
    <w:p w14:paraId="234FBE89" w14:textId="754F946C" w:rsidR="00F570B9" w:rsidRPr="006E13D1" w:rsidRDefault="00A578B4" w:rsidP="00F570B9">
      <w:pPr>
        <w:pStyle w:val="Heading1"/>
      </w:pPr>
      <w:r>
        <w:t>5</w:t>
      </w:r>
      <w:r w:rsidR="00F570B9" w:rsidRPr="006E13D1">
        <w:tab/>
      </w:r>
      <w:r w:rsidR="00F570B9">
        <w:t>Conclusion</w:t>
      </w:r>
    </w:p>
    <w:p w14:paraId="454D5E51" w14:textId="6A650B9B" w:rsidR="00F570B9" w:rsidRDefault="00F570B9" w:rsidP="00F570B9">
      <w:r>
        <w:t xml:space="preserve">In this paper, we analysed </w:t>
      </w:r>
      <w:r w:rsidR="005926EF">
        <w:t>NE</w:t>
      </w:r>
      <w:r>
        <w:t xml:space="preserve">-DC measurement configuration and gap </w:t>
      </w:r>
      <w:r w:rsidR="005926EF">
        <w:t>needs</w:t>
      </w:r>
      <w:r>
        <w:t>. Some observations</w:t>
      </w:r>
      <w:r w:rsidR="005926EF">
        <w:t xml:space="preserve"> and proposals</w:t>
      </w:r>
      <w:r>
        <w:t xml:space="preserve"> are provided for discussion.</w:t>
      </w:r>
    </w:p>
    <w:p w14:paraId="2C40CBF5" w14:textId="08FDF158" w:rsidR="005926EF" w:rsidRDefault="005926EF" w:rsidP="005926EF">
      <w:pPr>
        <w:rPr>
          <w:b/>
        </w:rPr>
      </w:pPr>
      <w:r w:rsidRPr="004D43C7">
        <w:rPr>
          <w:b/>
        </w:rPr>
        <w:t xml:space="preserve">Observation1: For </w:t>
      </w:r>
      <w:r>
        <w:rPr>
          <w:b/>
        </w:rPr>
        <w:t>NR</w:t>
      </w:r>
      <w:r w:rsidRPr="004D43C7">
        <w:rPr>
          <w:b/>
        </w:rPr>
        <w:t>-</w:t>
      </w:r>
      <w:r>
        <w:rPr>
          <w:b/>
        </w:rPr>
        <w:t xml:space="preserve">NR </w:t>
      </w:r>
      <w:r w:rsidRPr="004D43C7">
        <w:rPr>
          <w:b/>
        </w:rPr>
        <w:t>DC,</w:t>
      </w:r>
      <w:r>
        <w:rPr>
          <w:b/>
        </w:rPr>
        <w:t xml:space="preserve"> t</w:t>
      </w:r>
      <w:r w:rsidRPr="00F5783B">
        <w:rPr>
          <w:b/>
        </w:rPr>
        <w:t>wo measurement gap types</w:t>
      </w:r>
      <w:r>
        <w:rPr>
          <w:b/>
        </w:rPr>
        <w:t xml:space="preserve"> supported</w:t>
      </w:r>
      <w:r w:rsidRPr="00F5783B">
        <w:rPr>
          <w:b/>
        </w:rPr>
        <w:t xml:space="preserve"> including per UE gap and per FR gap</w:t>
      </w:r>
      <w:r>
        <w:rPr>
          <w:b/>
        </w:rPr>
        <w:t>.</w:t>
      </w:r>
    </w:p>
    <w:p w14:paraId="22D1AABF" w14:textId="77777777" w:rsidR="00A578B4" w:rsidRDefault="00A578B4" w:rsidP="00A578B4">
      <w:pPr>
        <w:rPr>
          <w:b/>
        </w:rPr>
      </w:pPr>
      <w:r>
        <w:rPr>
          <w:b/>
        </w:rPr>
        <w:t>Observation2</w:t>
      </w:r>
      <w:r w:rsidRPr="00D33F27">
        <w:rPr>
          <w:b/>
        </w:rPr>
        <w:t xml:space="preserve">: </w:t>
      </w:r>
      <w:r>
        <w:rPr>
          <w:b/>
        </w:rPr>
        <w:t xml:space="preserve">For getting UE capability on measured band that needs gap or not, NR-NR DC can use same UE capability indication mechanism as SA mode.  </w:t>
      </w:r>
    </w:p>
    <w:p w14:paraId="1B3292E7" w14:textId="77777777" w:rsidR="00C97AE2" w:rsidRPr="00B802DC" w:rsidRDefault="00C97AE2" w:rsidP="00C97AE2">
      <w:pPr>
        <w:rPr>
          <w:b/>
        </w:rPr>
      </w:pPr>
      <w:r>
        <w:rPr>
          <w:b/>
        </w:rPr>
        <w:t>Observation3</w:t>
      </w:r>
      <w:r w:rsidRPr="008E1DF1">
        <w:rPr>
          <w:b/>
        </w:rPr>
        <w:t xml:space="preserve">: For NR-NR DC, </w:t>
      </w:r>
      <w:r>
        <w:rPr>
          <w:b/>
        </w:rPr>
        <w:t>current ASN.1 for SA has been ready to support MGTA and gap type indication in NR-NR DC</w:t>
      </w:r>
      <w:r w:rsidRPr="008E1DF1">
        <w:rPr>
          <w:b/>
        </w:rPr>
        <w:t>.</w:t>
      </w:r>
      <w:r>
        <w:rPr>
          <w:b/>
        </w:rPr>
        <w:t xml:space="preserve"> </w:t>
      </w:r>
    </w:p>
    <w:p w14:paraId="296941A2" w14:textId="4607A125" w:rsidR="00C97AE2" w:rsidRPr="00B03646" w:rsidRDefault="00C97AE2" w:rsidP="00C97AE2">
      <w:pPr>
        <w:rPr>
          <w:b/>
        </w:rPr>
      </w:pPr>
      <w:r w:rsidRPr="00A940A0">
        <w:rPr>
          <w:b/>
        </w:rPr>
        <w:t>Observation</w:t>
      </w:r>
      <w:r>
        <w:rPr>
          <w:b/>
        </w:rPr>
        <w:t>4</w:t>
      </w:r>
      <w:r w:rsidRPr="00D33F27">
        <w:rPr>
          <w:b/>
        </w:rPr>
        <w:t>:</w:t>
      </w:r>
      <w:r>
        <w:rPr>
          <w:b/>
        </w:rPr>
        <w:t xml:space="preserve"> for NR-NR DC, be-directional </w:t>
      </w:r>
      <w:r w:rsidRPr="00B03646">
        <w:rPr>
          <w:b/>
          <w:i/>
        </w:rPr>
        <w:t xml:space="preserve">MeasurementTimingConfiguration </w:t>
      </w:r>
      <w:r w:rsidRPr="00B03646">
        <w:rPr>
          <w:b/>
        </w:rPr>
        <w:t>message</w:t>
      </w:r>
      <w:r>
        <w:rPr>
          <w:b/>
        </w:rPr>
        <w:t xml:space="preserve"> has been supported in current ASN.1. </w:t>
      </w:r>
      <w:r w:rsidRPr="00B03646">
        <w:rPr>
          <w:b/>
        </w:rPr>
        <w:t xml:space="preserve"> </w:t>
      </w:r>
    </w:p>
    <w:p w14:paraId="369624E7" w14:textId="77777777" w:rsidR="005926EF" w:rsidRDefault="005926EF" w:rsidP="005926EF">
      <w:pPr>
        <w:rPr>
          <w:b/>
        </w:rPr>
      </w:pPr>
    </w:p>
    <w:p w14:paraId="3ABA9D5A" w14:textId="2F38F184" w:rsidR="005926EF" w:rsidRDefault="005926EF" w:rsidP="005926EF">
      <w:pPr>
        <w:rPr>
          <w:b/>
        </w:rPr>
      </w:pPr>
      <w:r w:rsidRPr="007C75E9">
        <w:rPr>
          <w:b/>
        </w:rPr>
        <w:t xml:space="preserve">Proposal1: </w:t>
      </w:r>
      <w:r>
        <w:rPr>
          <w:b/>
        </w:rPr>
        <w:t xml:space="preserve">MN </w:t>
      </w:r>
      <w:r w:rsidRPr="00F5783B">
        <w:rPr>
          <w:b/>
        </w:rPr>
        <w:t>configure</w:t>
      </w:r>
      <w:r>
        <w:rPr>
          <w:b/>
        </w:rPr>
        <w:t>s</w:t>
      </w:r>
      <w:r w:rsidRPr="00F5783B">
        <w:rPr>
          <w:b/>
        </w:rPr>
        <w:t xml:space="preserve"> </w:t>
      </w:r>
      <w:r>
        <w:rPr>
          <w:b/>
        </w:rPr>
        <w:t>per UE gap or per FR1 gap pattern to UE and informs the gap pattern to SN.</w:t>
      </w:r>
    </w:p>
    <w:p w14:paraId="38B97ADC" w14:textId="77777777" w:rsidR="003D285E" w:rsidRDefault="003D285E" w:rsidP="003D285E">
      <w:pPr>
        <w:rPr>
          <w:b/>
        </w:rPr>
      </w:pPr>
      <w:r>
        <w:rPr>
          <w:b/>
        </w:rPr>
        <w:t xml:space="preserve">Proposal2: RAN2 needs to discuss in NR-NR DC which network node is responsible for per UE and per FR gap configuration to UE. </w:t>
      </w:r>
    </w:p>
    <w:p w14:paraId="24057F7D" w14:textId="77777777" w:rsidR="003D285E" w:rsidRPr="0046256C" w:rsidRDefault="003D285E" w:rsidP="003D285E">
      <w:pPr>
        <w:rPr>
          <w:b/>
        </w:rPr>
      </w:pPr>
      <w:r w:rsidRPr="0046256C">
        <w:rPr>
          <w:b/>
        </w:rPr>
        <w:t>Proposal</w:t>
      </w:r>
      <w:r>
        <w:rPr>
          <w:b/>
        </w:rPr>
        <w:t>3</w:t>
      </w:r>
      <w:r w:rsidRPr="0046256C">
        <w:rPr>
          <w:b/>
        </w:rPr>
        <w:t>: If MR-DC architecture principle applied</w:t>
      </w:r>
      <w:r>
        <w:rPr>
          <w:b/>
        </w:rPr>
        <w:t xml:space="preserve"> to NR-NR DC</w:t>
      </w:r>
      <w:r w:rsidRPr="0046256C">
        <w:rPr>
          <w:b/>
        </w:rPr>
        <w:t xml:space="preserve">, </w:t>
      </w:r>
      <w:r>
        <w:rPr>
          <w:b/>
        </w:rPr>
        <w:t xml:space="preserve">the network entity who controls FR2 gap configuration </w:t>
      </w:r>
      <w:r w:rsidRPr="0046256C">
        <w:rPr>
          <w:b/>
        </w:rPr>
        <w:t xml:space="preserve">needs to transfer configured FR2 gap configuration to another node. </w:t>
      </w:r>
    </w:p>
    <w:p w14:paraId="0AA976BF" w14:textId="77777777" w:rsidR="00F570B9" w:rsidRPr="006E13D1" w:rsidRDefault="00F570B9" w:rsidP="00F570B9">
      <w:pPr>
        <w:pStyle w:val="Heading1"/>
      </w:pPr>
      <w:r w:rsidRPr="006E13D1">
        <w:t>References</w:t>
      </w:r>
    </w:p>
    <w:p w14:paraId="5524F183" w14:textId="4BFC0C5B" w:rsidR="00CD4C7B" w:rsidRPr="006E13D1" w:rsidRDefault="00BC6A29" w:rsidP="00BC6A29">
      <w:pPr>
        <w:numPr>
          <w:ilvl w:val="0"/>
          <w:numId w:val="4"/>
        </w:numPr>
        <w:overflowPunct w:val="0"/>
        <w:autoSpaceDE w:val="0"/>
        <w:autoSpaceDN w:val="0"/>
        <w:adjustRightInd w:val="0"/>
        <w:textAlignment w:val="baseline"/>
      </w:pPr>
      <w:bookmarkStart w:id="1" w:name="_Ref75086397"/>
      <w:r>
        <w:t xml:space="preserve">R2-18XXXX, </w:t>
      </w:r>
      <w:r w:rsidRPr="00BC6A29">
        <w:t>NR-NR DC architectural principles</w:t>
      </w:r>
      <w:r>
        <w:t xml:space="preserve">, Nokia, </w:t>
      </w:r>
      <w:r w:rsidRPr="00BC6A29">
        <w:t xml:space="preserve">Nokia, Nokia Shanghai Bell </w:t>
      </w:r>
      <w:bookmarkEnd w:id="1"/>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76F21" w14:textId="77777777" w:rsidR="00443BA6" w:rsidRDefault="00443BA6">
      <w:r>
        <w:separator/>
      </w:r>
    </w:p>
  </w:endnote>
  <w:endnote w:type="continuationSeparator" w:id="0">
    <w:p w14:paraId="6E69A316" w14:textId="77777777" w:rsidR="00443BA6" w:rsidRDefault="0044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CBB87" w14:textId="77777777" w:rsidR="00443BA6" w:rsidRDefault="00443BA6">
      <w:r>
        <w:separator/>
      </w:r>
    </w:p>
  </w:footnote>
  <w:footnote w:type="continuationSeparator" w:id="0">
    <w:p w14:paraId="527C39BA" w14:textId="77777777" w:rsidR="00443BA6" w:rsidRDefault="00443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F027AA"/>
    <w:multiLevelType w:val="hybridMultilevel"/>
    <w:tmpl w:val="B808C30A"/>
    <w:lvl w:ilvl="0" w:tplc="4ECEAD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317A4"/>
    <w:multiLevelType w:val="hybridMultilevel"/>
    <w:tmpl w:val="6C9E4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3B2608"/>
    <w:multiLevelType w:val="hybridMultilevel"/>
    <w:tmpl w:val="13481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F1A48"/>
    <w:multiLevelType w:val="hybridMultilevel"/>
    <w:tmpl w:val="00D44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7"/>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46FB"/>
    <w:rsid w:val="000B7BCF"/>
    <w:rsid w:val="000C012B"/>
    <w:rsid w:val="000C522B"/>
    <w:rsid w:val="000D58AB"/>
    <w:rsid w:val="00112F1A"/>
    <w:rsid w:val="00145075"/>
    <w:rsid w:val="001741A0"/>
    <w:rsid w:val="00175FA0"/>
    <w:rsid w:val="0018617B"/>
    <w:rsid w:val="00194CD0"/>
    <w:rsid w:val="001B49C9"/>
    <w:rsid w:val="001C4F79"/>
    <w:rsid w:val="001F168B"/>
    <w:rsid w:val="001F2D9A"/>
    <w:rsid w:val="001F7831"/>
    <w:rsid w:val="0020012E"/>
    <w:rsid w:val="00204045"/>
    <w:rsid w:val="0020712B"/>
    <w:rsid w:val="0022606D"/>
    <w:rsid w:val="00231728"/>
    <w:rsid w:val="002610D8"/>
    <w:rsid w:val="002747EC"/>
    <w:rsid w:val="002855BF"/>
    <w:rsid w:val="00293FC3"/>
    <w:rsid w:val="002F0D22"/>
    <w:rsid w:val="0031536B"/>
    <w:rsid w:val="003172DC"/>
    <w:rsid w:val="00320134"/>
    <w:rsid w:val="00325AE3"/>
    <w:rsid w:val="00326069"/>
    <w:rsid w:val="0035462D"/>
    <w:rsid w:val="00364B41"/>
    <w:rsid w:val="00365698"/>
    <w:rsid w:val="00395A60"/>
    <w:rsid w:val="003A41EF"/>
    <w:rsid w:val="003B40AD"/>
    <w:rsid w:val="003C4E37"/>
    <w:rsid w:val="003D233C"/>
    <w:rsid w:val="003D285E"/>
    <w:rsid w:val="003E16BE"/>
    <w:rsid w:val="003F4E28"/>
    <w:rsid w:val="004006E8"/>
    <w:rsid w:val="00401855"/>
    <w:rsid w:val="00403C0B"/>
    <w:rsid w:val="00443BA6"/>
    <w:rsid w:val="0046256C"/>
    <w:rsid w:val="00477455"/>
    <w:rsid w:val="004A1F7B"/>
    <w:rsid w:val="004C32FB"/>
    <w:rsid w:val="004C3AE1"/>
    <w:rsid w:val="004C44D2"/>
    <w:rsid w:val="004D3578"/>
    <w:rsid w:val="004D380D"/>
    <w:rsid w:val="004E213A"/>
    <w:rsid w:val="00503171"/>
    <w:rsid w:val="00506C28"/>
    <w:rsid w:val="0052765C"/>
    <w:rsid w:val="00534DA0"/>
    <w:rsid w:val="00543E6C"/>
    <w:rsid w:val="00565087"/>
    <w:rsid w:val="0056573F"/>
    <w:rsid w:val="005926EF"/>
    <w:rsid w:val="00611566"/>
    <w:rsid w:val="00646D99"/>
    <w:rsid w:val="00654B65"/>
    <w:rsid w:val="00656910"/>
    <w:rsid w:val="00665FEC"/>
    <w:rsid w:val="006C63C8"/>
    <w:rsid w:val="006C66D8"/>
    <w:rsid w:val="006D1E24"/>
    <w:rsid w:val="006E1417"/>
    <w:rsid w:val="006F6A2C"/>
    <w:rsid w:val="00710201"/>
    <w:rsid w:val="007342B5"/>
    <w:rsid w:val="00734A5B"/>
    <w:rsid w:val="00744E76"/>
    <w:rsid w:val="00757D40"/>
    <w:rsid w:val="00767BDB"/>
    <w:rsid w:val="00781F0F"/>
    <w:rsid w:val="0078727C"/>
    <w:rsid w:val="0079049D"/>
    <w:rsid w:val="00793DC5"/>
    <w:rsid w:val="007B18D8"/>
    <w:rsid w:val="007C095F"/>
    <w:rsid w:val="007C75E9"/>
    <w:rsid w:val="008028A4"/>
    <w:rsid w:val="00813245"/>
    <w:rsid w:val="00822348"/>
    <w:rsid w:val="008224CE"/>
    <w:rsid w:val="008768CA"/>
    <w:rsid w:val="00877EF9"/>
    <w:rsid w:val="00880559"/>
    <w:rsid w:val="008B5306"/>
    <w:rsid w:val="008D2E4D"/>
    <w:rsid w:val="008E1DF1"/>
    <w:rsid w:val="008F3EBD"/>
    <w:rsid w:val="0090271F"/>
    <w:rsid w:val="00902DB9"/>
    <w:rsid w:val="0090466A"/>
    <w:rsid w:val="009341CF"/>
    <w:rsid w:val="00936071"/>
    <w:rsid w:val="00940212"/>
    <w:rsid w:val="00942EC2"/>
    <w:rsid w:val="00961B32"/>
    <w:rsid w:val="00970DB3"/>
    <w:rsid w:val="00974BB0"/>
    <w:rsid w:val="009A0AF3"/>
    <w:rsid w:val="009B07CD"/>
    <w:rsid w:val="009C19E9"/>
    <w:rsid w:val="009D74A6"/>
    <w:rsid w:val="00A0411E"/>
    <w:rsid w:val="00A10F02"/>
    <w:rsid w:val="00A204CA"/>
    <w:rsid w:val="00A53724"/>
    <w:rsid w:val="00A578B4"/>
    <w:rsid w:val="00A82346"/>
    <w:rsid w:val="00A9671C"/>
    <w:rsid w:val="00AA1553"/>
    <w:rsid w:val="00B05962"/>
    <w:rsid w:val="00B15449"/>
    <w:rsid w:val="00B27303"/>
    <w:rsid w:val="00B47FD1"/>
    <w:rsid w:val="00B516BB"/>
    <w:rsid w:val="00B85A38"/>
    <w:rsid w:val="00BC3555"/>
    <w:rsid w:val="00BC6A29"/>
    <w:rsid w:val="00C12B51"/>
    <w:rsid w:val="00C24650"/>
    <w:rsid w:val="00C30AF7"/>
    <w:rsid w:val="00C33079"/>
    <w:rsid w:val="00C83A13"/>
    <w:rsid w:val="00C9068C"/>
    <w:rsid w:val="00C92967"/>
    <w:rsid w:val="00C97AE2"/>
    <w:rsid w:val="00CA3D0C"/>
    <w:rsid w:val="00CA654B"/>
    <w:rsid w:val="00CC53D4"/>
    <w:rsid w:val="00CD0E3E"/>
    <w:rsid w:val="00CD4C7B"/>
    <w:rsid w:val="00D24CDF"/>
    <w:rsid w:val="00D33BE3"/>
    <w:rsid w:val="00D3792D"/>
    <w:rsid w:val="00D55E47"/>
    <w:rsid w:val="00D62E19"/>
    <w:rsid w:val="00D65C74"/>
    <w:rsid w:val="00D67CD1"/>
    <w:rsid w:val="00D738D6"/>
    <w:rsid w:val="00D80795"/>
    <w:rsid w:val="00D84E7F"/>
    <w:rsid w:val="00D854BE"/>
    <w:rsid w:val="00D87E00"/>
    <w:rsid w:val="00D9134D"/>
    <w:rsid w:val="00D96D11"/>
    <w:rsid w:val="00DA7A03"/>
    <w:rsid w:val="00DB0DB8"/>
    <w:rsid w:val="00DB1818"/>
    <w:rsid w:val="00DC309B"/>
    <w:rsid w:val="00DC4DA2"/>
    <w:rsid w:val="00E20524"/>
    <w:rsid w:val="00E471CF"/>
    <w:rsid w:val="00E62835"/>
    <w:rsid w:val="00E77645"/>
    <w:rsid w:val="00E83697"/>
    <w:rsid w:val="00EC4A25"/>
    <w:rsid w:val="00F025A2"/>
    <w:rsid w:val="00F07388"/>
    <w:rsid w:val="00F2026E"/>
    <w:rsid w:val="00F2210A"/>
    <w:rsid w:val="00F3305A"/>
    <w:rsid w:val="00F37743"/>
    <w:rsid w:val="00F54A3D"/>
    <w:rsid w:val="00F54CB0"/>
    <w:rsid w:val="00F570B9"/>
    <w:rsid w:val="00F653B8"/>
    <w:rsid w:val="00F71B89"/>
    <w:rsid w:val="00F7353C"/>
    <w:rsid w:val="00F76F8F"/>
    <w:rsid w:val="00FA0999"/>
    <w:rsid w:val="00FA1266"/>
    <w:rsid w:val="00FB36FA"/>
    <w:rsid w:val="00FC1192"/>
    <w:rsid w:val="00FE251B"/>
    <w:rsid w:val="00FE6D83"/>
    <w:rsid w:val="00FF1184"/>
    <w:rsid w:val="00FF66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F570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5213">
      <w:bodyDiv w:val="1"/>
      <w:marLeft w:val="0"/>
      <w:marRight w:val="0"/>
      <w:marTop w:val="0"/>
      <w:marBottom w:val="0"/>
      <w:divBdr>
        <w:top w:val="none" w:sz="0" w:space="0" w:color="auto"/>
        <w:left w:val="none" w:sz="0" w:space="0" w:color="auto"/>
        <w:bottom w:val="none" w:sz="0" w:space="0" w:color="auto"/>
        <w:right w:val="none" w:sz="0" w:space="0" w:color="auto"/>
      </w:divBdr>
      <w:divsChild>
        <w:div w:id="431897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Props1.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2.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3.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4.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186</TotalTime>
  <Pages>2</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8</cp:revision>
  <dcterms:created xsi:type="dcterms:W3CDTF">2018-08-08T10:23:00Z</dcterms:created>
  <dcterms:modified xsi:type="dcterms:W3CDTF">2018-08-10T07:25:00Z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